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enquiries to ensure that its officers, employees and Subcontractors have not been convicted of slavery or human trafficking offences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pageBreakBefore w:val="0"/>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pageBreakBefore w:val="0"/>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pageBreakBefore w:val="0"/>
        <w:tabs>
          <w:tab w:val="left" w:leader="none" w:pos="1985"/>
          <w:tab w:val="left" w:leader="none"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pageBreakBefore w:val="0"/>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pageBreakBefore w:val="0"/>
        <w:numPr>
          <w:ilvl w:val="0"/>
          <w:numId w:val="2"/>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pageBreakBefore w:val="0"/>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tabs>
          <w:tab w:val="left" w:leader="none"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44">
      <w:pPr>
        <w:pageBreakBefore w:val="0"/>
        <w:tabs>
          <w:tab w:val="left" w:leader="none"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leader="none" w:pos="4513"/>
        <w:tab w:val="right" w:leader="none"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4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C">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F">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0">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1">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6">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8">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WrjwhP7kzUYvWIDA/aPUuAPqX9w==">AMUW2mXL6+UyXoDzGhw22pKCMq4tn8Aft3RhuCmYbD9/UKarucDHt7bGomfUqPPGqVmrkfEcqG31zpOqWLnQnK/hxH/oHko/C9Txb+LOlyj9tMosBDCqZodpUlJDMA1DuKL78ifvzyLAysbAawkV082bSoESS8nW7A==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